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F8" w:rsidRDefault="00FA65F8" w:rsidP="00FA65F8">
      <w:pPr>
        <w:shd w:val="clear" w:color="auto" w:fill="FFFFFF"/>
        <w:spacing w:line="360" w:lineRule="auto"/>
        <w:jc w:val="both"/>
      </w:pPr>
      <w:r>
        <w:rPr>
          <w:rFonts w:ascii="Helvetica" w:hAnsi="Helvetica" w:cs="Helvetica"/>
          <w:b/>
          <w:bCs/>
          <w:color w:val="000000"/>
          <w:sz w:val="18"/>
          <w:szCs w:val="18"/>
          <w:u w:val="single"/>
        </w:rPr>
        <w:t>Modelo I de Nota sobre Unidad de Medida</w:t>
      </w:r>
    </w:p>
    <w:p w:rsidR="00FA65F8" w:rsidRDefault="00FA65F8" w:rsidP="00FA65F8">
      <w:pPr>
        <w:shd w:val="clear" w:color="auto" w:fill="FFFFFF"/>
        <w:spacing w:line="360" w:lineRule="auto"/>
        <w:jc w:val="both"/>
      </w:pPr>
      <w:r>
        <w:rPr>
          <w:rFonts w:ascii="Helvetica" w:hAnsi="Helvetica" w:cs="Helvetica"/>
          <w:color w:val="000000"/>
          <w:sz w:val="18"/>
          <w:szCs w:val="18"/>
        </w:rPr>
        <w:t> </w:t>
      </w:r>
    </w:p>
    <w:p w:rsidR="00FA65F8" w:rsidRDefault="00FA65F8" w:rsidP="00FA65F8">
      <w:pPr>
        <w:shd w:val="clear" w:color="auto" w:fill="FFFFFF"/>
        <w:spacing w:line="360" w:lineRule="auto"/>
        <w:jc w:val="both"/>
      </w:pPr>
      <w:r>
        <w:rPr>
          <w:rFonts w:ascii="Helvetica" w:hAnsi="Helvetica" w:cs="Helvetica"/>
          <w:b/>
          <w:bCs/>
          <w:color w:val="000000"/>
          <w:sz w:val="18"/>
          <w:szCs w:val="18"/>
        </w:rPr>
        <w:t>Unidad de Medida.</w:t>
      </w:r>
    </w:p>
    <w:p w:rsidR="00FA65F8" w:rsidRDefault="00FA65F8" w:rsidP="00FA65F8">
      <w:pPr>
        <w:shd w:val="clear" w:color="auto" w:fill="FFFFFF"/>
        <w:spacing w:line="360" w:lineRule="auto"/>
        <w:jc w:val="both"/>
      </w:pPr>
      <w:r>
        <w:rPr>
          <w:rFonts w:ascii="Helvetica" w:hAnsi="Helvetica" w:cs="Helvetica"/>
          <w:color w:val="000000"/>
          <w:sz w:val="18"/>
          <w:szCs w:val="18"/>
        </w:rPr>
        <w:t> </w:t>
      </w:r>
    </w:p>
    <w:p w:rsidR="00FA65F8" w:rsidRDefault="00FA65F8" w:rsidP="00FA65F8">
      <w:pPr>
        <w:shd w:val="clear" w:color="auto" w:fill="FFFFFF"/>
        <w:spacing w:line="360" w:lineRule="auto"/>
        <w:jc w:val="both"/>
      </w:pPr>
      <w:r>
        <w:rPr>
          <w:rFonts w:ascii="Helvetica" w:hAnsi="Helvetica" w:cs="Helvetica"/>
          <w:color w:val="000000"/>
          <w:sz w:val="18"/>
          <w:szCs w:val="18"/>
        </w:rPr>
        <w:t xml:space="preserve">Los estados contables han sido preparados en moneda nominal, utilizando dicha moneda como equivalente a moneda homogénea de conformidad a lo establecido en la sección 3.1 de la Resolución Técnica Nº 17. Conforme a lo dispuesto por la Federación Argentina de Consejos Profesionales de Ciencias Económicas a través de su Resolución Nº 287/03, adoptada mediante Resolución Nº 15/2003 del Consejo Profesional de Ciencias Económicas de la Provincia de San Juan, se ha discontinuado la </w:t>
      </w:r>
      <w:proofErr w:type="spellStart"/>
      <w:r>
        <w:rPr>
          <w:rFonts w:ascii="Helvetica" w:hAnsi="Helvetica" w:cs="Helvetica"/>
          <w:color w:val="000000"/>
          <w:sz w:val="18"/>
          <w:szCs w:val="18"/>
        </w:rPr>
        <w:t>reexpresión</w:t>
      </w:r>
      <w:proofErr w:type="spellEnd"/>
      <w:r>
        <w:rPr>
          <w:rFonts w:ascii="Helvetica" w:hAnsi="Helvetica" w:cs="Helvetica"/>
          <w:color w:val="000000"/>
          <w:sz w:val="18"/>
          <w:szCs w:val="18"/>
        </w:rPr>
        <w:t xml:space="preserve"> para reflejar las variaciones en el poder adquisitivo de la moneda en los EECC a partir del 1° de octubre de 2003. A partir del 22/06/2015, fecha en la cual se aprobó mediante Resolución Nº 20/2015 del Consejo Profesional de Ciencias Económicas de la Provincia de San Juan, la Resolución Técnica Nº 39, entendemos que, de acuerdo a dicha norma técnica y a la Interpretación Nº 8, no se verifican las condiciones estipuladas en la Sección 3.1 de la RT 17 para determinar un contexto de inflación tal que lleve a calificar a la economía de altamente inflacionaria que disponga reanudar el proceso de </w:t>
      </w:r>
      <w:proofErr w:type="spellStart"/>
      <w:r>
        <w:rPr>
          <w:rFonts w:ascii="Helvetica" w:hAnsi="Helvetica" w:cs="Helvetica"/>
          <w:color w:val="000000"/>
          <w:sz w:val="18"/>
          <w:szCs w:val="18"/>
        </w:rPr>
        <w:t>reexpresión</w:t>
      </w:r>
      <w:proofErr w:type="spellEnd"/>
      <w:r>
        <w:rPr>
          <w:rFonts w:ascii="Helvetica" w:hAnsi="Helvetica" w:cs="Helvetica"/>
          <w:color w:val="000000"/>
          <w:sz w:val="18"/>
          <w:szCs w:val="18"/>
        </w:rPr>
        <w:t>. A la fecha de cierre de los presentes estados contables, la tasa acumulada de inflación en tres años, considerando el Índice de Precios Internos al por Mayor elaborado por el Instituto Nacional de Estadísticas y Censos (INDEC), no alcanza ni sobrepasa el 100%.</w:t>
      </w:r>
    </w:p>
    <w:p w:rsidR="005E5353" w:rsidRDefault="005E5353"/>
    <w:p w:rsidR="00AF3BFA" w:rsidRDefault="00AF3BFA"/>
    <w:p w:rsidR="00AF3BFA" w:rsidRPr="00AF3BFA" w:rsidRDefault="00AF3BFA" w:rsidP="00AF3BFA">
      <w:pPr>
        <w:rPr>
          <w:b/>
          <w:u w:val="single"/>
          <w:lang w:val="es-ES"/>
        </w:rPr>
      </w:pPr>
      <w:r w:rsidRPr="00AF3BFA">
        <w:rPr>
          <w:b/>
          <w:u w:val="single"/>
          <w:lang w:val="es-ES"/>
        </w:rPr>
        <w:t>Opcional para agregar en caso que corresponda:</w:t>
      </w:r>
    </w:p>
    <w:p w:rsidR="00AF3BFA" w:rsidRPr="005E5F4C" w:rsidRDefault="00AF3BFA" w:rsidP="00AF3BFA">
      <w:pPr>
        <w:rPr>
          <w:lang w:val="es-ES"/>
        </w:rPr>
      </w:pPr>
      <w:r>
        <w:rPr>
          <w:lang w:val="es-ES"/>
        </w:rPr>
        <w:t>Los estados contables del ente reconocieron las variaciones en el poder adquisitivo de la moneda hasta el 28/02/2003, habiendo discontinuado el ajuste por inflación a partir del 01/03/2003 de acuerdo con lo requerido por el Decreto Nº 664/2003 y normas contables profesionales de ese momento</w:t>
      </w:r>
      <w:r w:rsidR="00CB0084">
        <w:rPr>
          <w:lang w:val="es-ES"/>
        </w:rPr>
        <w:t>.</w:t>
      </w:r>
    </w:p>
    <w:p w:rsidR="00AF3BFA" w:rsidRPr="00AF3BFA" w:rsidRDefault="00AF3BFA">
      <w:pPr>
        <w:rPr>
          <w:lang w:val="es-ES"/>
        </w:rPr>
      </w:pPr>
    </w:p>
    <w:sectPr w:rsidR="00AF3BFA" w:rsidRPr="00AF3BFA" w:rsidSect="005E535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08"/>
  <w:hyphenationZone w:val="425"/>
  <w:characterSpacingControl w:val="doNotCompress"/>
  <w:compat/>
  <w:rsids>
    <w:rsidRoot w:val="00FA65F8"/>
    <w:rsid w:val="000758BA"/>
    <w:rsid w:val="00406FC6"/>
    <w:rsid w:val="00577746"/>
    <w:rsid w:val="005E5353"/>
    <w:rsid w:val="00841C85"/>
    <w:rsid w:val="0091399E"/>
    <w:rsid w:val="00AF3BFA"/>
    <w:rsid w:val="00C67901"/>
    <w:rsid w:val="00CB0084"/>
    <w:rsid w:val="00FA65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F8"/>
    <w:pPr>
      <w:spacing w:after="0" w:line="240" w:lineRule="auto"/>
    </w:pPr>
    <w:rPr>
      <w:rFonts w:ascii="Calibri" w:hAnsi="Calibri" w:cs="Times New Roman"/>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6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1497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Laumann</dc:creator>
  <cp:keywords/>
  <dc:description/>
  <cp:lastModifiedBy>DANTE CORIA</cp:lastModifiedBy>
  <cp:revision>6</cp:revision>
  <dcterms:created xsi:type="dcterms:W3CDTF">2017-05-04T22:58:00Z</dcterms:created>
  <dcterms:modified xsi:type="dcterms:W3CDTF">2022-12-21T21:06:00Z</dcterms:modified>
</cp:coreProperties>
</file>